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sz w:val="44"/>
          <w:szCs w:val="44"/>
        </w:rPr>
      </w:pPr>
      <w:r>
        <w:rPr>
          <w:rFonts w:hint="eastAsia" w:asciiTheme="minorEastAsia" w:hAnsiTheme="minorEastAsia"/>
          <w:sz w:val="44"/>
          <w:szCs w:val="44"/>
        </w:rPr>
        <w:t>学生就业与创业指导中心201</w:t>
      </w:r>
      <w:r>
        <w:rPr>
          <w:rFonts w:asciiTheme="minorEastAsia" w:hAnsiTheme="minorEastAsia"/>
          <w:sz w:val="44"/>
          <w:szCs w:val="44"/>
        </w:rPr>
        <w:t>8</w:t>
      </w:r>
      <w:r>
        <w:rPr>
          <w:rFonts w:hint="eastAsia" w:asciiTheme="minorEastAsia" w:hAnsiTheme="minorEastAsia"/>
          <w:sz w:val="44"/>
          <w:szCs w:val="44"/>
        </w:rPr>
        <w:t>年工作</w:t>
      </w:r>
    </w:p>
    <w:p>
      <w:pPr>
        <w:jc w:val="center"/>
        <w:rPr>
          <w:rFonts w:asciiTheme="minorEastAsia" w:hAnsiTheme="minorEastAsia"/>
          <w:sz w:val="44"/>
          <w:szCs w:val="44"/>
        </w:rPr>
      </w:pPr>
      <w:bookmarkStart w:id="4" w:name="_GoBack"/>
      <w:bookmarkEnd w:id="4"/>
      <w:r>
        <w:rPr>
          <w:rFonts w:hint="eastAsia" w:asciiTheme="minorEastAsia" w:hAnsiTheme="minorEastAsia"/>
          <w:sz w:val="44"/>
          <w:szCs w:val="44"/>
        </w:rPr>
        <w:t>计划和要点</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一、学生就业与创业指导中心201</w:t>
      </w:r>
      <w:r>
        <w:rPr>
          <w:rFonts w:ascii="仿宋" w:hAnsi="仿宋" w:eastAsia="仿宋"/>
          <w:b/>
          <w:sz w:val="32"/>
          <w:szCs w:val="32"/>
        </w:rPr>
        <w:t>8</w:t>
      </w:r>
      <w:r>
        <w:rPr>
          <w:rFonts w:hint="eastAsia" w:ascii="仿宋" w:hAnsi="仿宋" w:eastAsia="仿宋"/>
          <w:b/>
          <w:sz w:val="32"/>
          <w:szCs w:val="32"/>
        </w:rPr>
        <w:t>年工作计划</w:t>
      </w:r>
    </w:p>
    <w:p>
      <w:pPr>
        <w:rPr>
          <w:rFonts w:ascii="仿宋" w:hAnsi="仿宋" w:eastAsia="仿宋"/>
          <w:sz w:val="32"/>
          <w:szCs w:val="32"/>
        </w:rPr>
      </w:pPr>
      <w:r>
        <w:rPr>
          <w:rFonts w:hint="eastAsia" w:ascii="仿宋" w:hAnsi="仿宋" w:eastAsia="仿宋"/>
          <w:sz w:val="32"/>
          <w:szCs w:val="32"/>
        </w:rPr>
        <w:t>1.实施全员促就业，全力保障毕业生初次就业率</w:t>
      </w:r>
    </w:p>
    <w:p>
      <w:pPr>
        <w:ind w:firstLine="640" w:firstLineChars="200"/>
        <w:rPr>
          <w:rFonts w:ascii="仿宋" w:hAnsi="仿宋" w:eastAsia="仿宋"/>
          <w:sz w:val="32"/>
          <w:szCs w:val="32"/>
        </w:rPr>
      </w:pPr>
      <w:r>
        <w:rPr>
          <w:rFonts w:hint="eastAsia" w:ascii="仿宋" w:hAnsi="仿宋" w:eastAsia="仿宋" w:cs="宋体"/>
          <w:sz w:val="32"/>
          <w:szCs w:val="32"/>
        </w:rPr>
        <w:t>大学毕业生就业情况是高校人才培养质量和就业服务工作水平的重要衡量标志。依据</w:t>
      </w:r>
      <w:r>
        <w:rPr>
          <w:rFonts w:hint="eastAsia" w:ascii="仿宋" w:hAnsi="仿宋" w:eastAsia="仿宋"/>
          <w:sz w:val="32"/>
          <w:szCs w:val="32"/>
        </w:rPr>
        <w:t>教育部规定，毕业生初次就业率统计时间节点为其毕业当年的8月31日。201</w:t>
      </w:r>
      <w:r>
        <w:rPr>
          <w:rFonts w:ascii="仿宋" w:hAnsi="仿宋" w:eastAsia="仿宋"/>
          <w:sz w:val="32"/>
          <w:szCs w:val="32"/>
        </w:rPr>
        <w:t>8</w:t>
      </w:r>
      <w:r>
        <w:rPr>
          <w:rFonts w:hint="eastAsia" w:ascii="仿宋" w:hAnsi="仿宋" w:eastAsia="仿宋"/>
          <w:sz w:val="32"/>
          <w:szCs w:val="32"/>
        </w:rPr>
        <w:t>年，将进一步</w:t>
      </w:r>
      <w:r>
        <w:rPr>
          <w:rFonts w:ascii="仿宋" w:hAnsi="仿宋" w:eastAsia="仿宋"/>
          <w:sz w:val="32"/>
          <w:szCs w:val="32"/>
        </w:rPr>
        <w:t>推动全员促就业计划，确保</w:t>
      </w:r>
      <w:r>
        <w:rPr>
          <w:rFonts w:hint="eastAsia" w:ascii="仿宋" w:hAnsi="仿宋" w:eastAsia="仿宋"/>
          <w:sz w:val="32"/>
          <w:szCs w:val="32"/>
        </w:rPr>
        <w:t>全体毕业生初次就业率不低于95%。</w:t>
      </w:r>
    </w:p>
    <w:p>
      <w:pPr>
        <w:rPr>
          <w:rFonts w:ascii="仿宋" w:hAnsi="仿宋" w:eastAsia="仿宋"/>
          <w:sz w:val="32"/>
          <w:szCs w:val="32"/>
        </w:rPr>
      </w:pPr>
      <w:r>
        <w:rPr>
          <w:rFonts w:hint="eastAsia" w:ascii="仿宋" w:hAnsi="仿宋" w:eastAsia="仿宋"/>
          <w:sz w:val="32"/>
          <w:szCs w:val="32"/>
        </w:rPr>
        <w:t>2.打造特色招聘体系，为学生提供充足就业机会</w:t>
      </w:r>
    </w:p>
    <w:p>
      <w:pPr>
        <w:ind w:firstLine="640" w:firstLineChars="200"/>
        <w:rPr>
          <w:rFonts w:ascii="仿宋" w:hAnsi="仿宋" w:eastAsia="仿宋"/>
          <w:sz w:val="32"/>
          <w:szCs w:val="32"/>
        </w:rPr>
      </w:pPr>
      <w:r>
        <w:rPr>
          <w:rFonts w:hint="eastAsia" w:ascii="仿宋" w:hAnsi="仿宋" w:eastAsia="仿宋"/>
          <w:sz w:val="32"/>
          <w:szCs w:val="32"/>
        </w:rPr>
        <w:t>以增加就业机会和提升就业质量为有效切入点，继续建设品牌校园招聘活动体系。</w:t>
      </w:r>
    </w:p>
    <w:p>
      <w:pPr>
        <w:ind w:firstLine="640" w:firstLineChars="200"/>
        <w:rPr>
          <w:rFonts w:ascii="仿宋" w:hAnsi="仿宋" w:eastAsia="仿宋"/>
          <w:sz w:val="32"/>
          <w:szCs w:val="32"/>
        </w:rPr>
      </w:pPr>
      <w:r>
        <w:rPr>
          <w:rFonts w:hint="eastAsia" w:ascii="仿宋" w:hAnsi="仿宋" w:eastAsia="仿宋"/>
          <w:sz w:val="32"/>
          <w:szCs w:val="32"/>
        </w:rPr>
        <w:t>（1）继续落实“五个一”计划，完善招聘体系，平均每天一场独家招聘会、每周一场院系专场招聘会、每月一场中型招聘会、每学期一场大型招聘会、每年一场实习双选会，确保201</w:t>
      </w:r>
      <w:r>
        <w:rPr>
          <w:rFonts w:ascii="仿宋" w:hAnsi="仿宋" w:eastAsia="仿宋"/>
          <w:sz w:val="32"/>
          <w:szCs w:val="32"/>
        </w:rPr>
        <w:t>8</w:t>
      </w:r>
      <w:r>
        <w:rPr>
          <w:rFonts w:hint="eastAsia" w:ascii="仿宋" w:hAnsi="仿宋" w:eastAsia="仿宋"/>
          <w:sz w:val="32"/>
          <w:szCs w:val="32"/>
        </w:rPr>
        <w:t>年来校招聘用人单位数量不低于1</w:t>
      </w:r>
      <w:r>
        <w:rPr>
          <w:rFonts w:ascii="仿宋" w:hAnsi="仿宋" w:eastAsia="仿宋"/>
          <w:sz w:val="32"/>
          <w:szCs w:val="32"/>
        </w:rPr>
        <w:t>5</w:t>
      </w:r>
      <w:r>
        <w:rPr>
          <w:rFonts w:hint="eastAsia" w:ascii="仿宋" w:hAnsi="仿宋" w:eastAsia="仿宋"/>
          <w:sz w:val="32"/>
          <w:szCs w:val="32"/>
        </w:rPr>
        <w:t>00家。</w:t>
      </w:r>
    </w:p>
    <w:p>
      <w:pPr>
        <w:ind w:firstLine="640" w:firstLineChars="200"/>
        <w:rPr>
          <w:rFonts w:ascii="仿宋" w:hAnsi="仿宋" w:eastAsia="仿宋"/>
          <w:sz w:val="32"/>
          <w:szCs w:val="32"/>
        </w:rPr>
      </w:pPr>
      <w:r>
        <w:rPr>
          <w:rFonts w:hint="eastAsia" w:ascii="仿宋" w:hAnsi="仿宋" w:eastAsia="仿宋"/>
          <w:sz w:val="32"/>
          <w:szCs w:val="32"/>
        </w:rPr>
        <w:t>（2）重点开拓中央和各地的公共部门、大型企事业单位就业市场，打造各类精品招聘。一是按照多层次、精细化要求，打造学企交流、高端人才网络招聘、北京名企招聘、研究生专场招聘、全国名校招聘等师大特色校园招聘品牌；二是运用地方资源，在201</w:t>
      </w:r>
      <w:r>
        <w:rPr>
          <w:rFonts w:ascii="仿宋" w:hAnsi="仿宋" w:eastAsia="仿宋"/>
          <w:sz w:val="32"/>
          <w:szCs w:val="32"/>
        </w:rPr>
        <w:t>8</w:t>
      </w:r>
      <w:r>
        <w:rPr>
          <w:rFonts w:hint="eastAsia" w:ascii="仿宋" w:hAnsi="仿宋" w:eastAsia="仿宋"/>
          <w:sz w:val="32"/>
          <w:szCs w:val="32"/>
        </w:rPr>
        <w:t>年继续开展暑期实习实训工作，组织学生去往一带一路、京津冀、长江经济带等重点地区上岗锻炼；三是加强与中西部地区沟通，引导更多毕业生通过选调生等渠道去往中西部和基层就业。</w:t>
      </w:r>
    </w:p>
    <w:p>
      <w:pPr>
        <w:rPr>
          <w:rFonts w:ascii="仿宋" w:hAnsi="仿宋" w:eastAsia="仿宋"/>
          <w:sz w:val="32"/>
          <w:szCs w:val="32"/>
        </w:rPr>
      </w:pPr>
      <w:r>
        <w:rPr>
          <w:rFonts w:hint="eastAsia" w:ascii="仿宋" w:hAnsi="仿宋" w:eastAsia="仿宋"/>
          <w:sz w:val="32"/>
          <w:szCs w:val="32"/>
        </w:rPr>
        <w:t>3.加大研究性工作力度，加强就业创业工作理论研究</w:t>
      </w:r>
    </w:p>
    <w:p>
      <w:pPr>
        <w:ind w:firstLine="640" w:firstLineChars="200"/>
        <w:rPr>
          <w:rFonts w:ascii="仿宋" w:hAnsi="仿宋" w:eastAsia="仿宋"/>
          <w:sz w:val="32"/>
          <w:szCs w:val="32"/>
        </w:rPr>
      </w:pPr>
      <w:r>
        <w:rPr>
          <w:rFonts w:hint="eastAsia" w:ascii="仿宋" w:hAnsi="仿宋" w:eastAsia="仿宋"/>
          <w:sz w:val="32"/>
          <w:szCs w:val="32"/>
        </w:rPr>
        <w:t>做好基础研究，才能够为下一步实践提供理论支持。一是坚持已有研究载体，有效发挥就业工作的评价反馈作用，促使招生和培养工作的反思和进步；二是鼓励广大师生参与就业创业的理论研究。</w:t>
      </w:r>
    </w:p>
    <w:p>
      <w:pPr>
        <w:rPr>
          <w:rFonts w:ascii="仿宋" w:hAnsi="仿宋" w:eastAsia="仿宋"/>
          <w:sz w:val="32"/>
          <w:szCs w:val="32"/>
        </w:rPr>
      </w:pPr>
      <w:r>
        <w:rPr>
          <w:rFonts w:hint="eastAsia" w:ascii="仿宋" w:hAnsi="仿宋" w:eastAsia="仿宋"/>
          <w:sz w:val="32"/>
          <w:szCs w:val="32"/>
        </w:rPr>
        <w:t xml:space="preserve">    （1）201</w:t>
      </w:r>
      <w:r>
        <w:rPr>
          <w:rFonts w:ascii="仿宋" w:hAnsi="仿宋" w:eastAsia="仿宋"/>
          <w:sz w:val="32"/>
          <w:szCs w:val="32"/>
        </w:rPr>
        <w:t>8</w:t>
      </w:r>
      <w:r>
        <w:rPr>
          <w:rFonts w:hint="eastAsia" w:ascii="仿宋" w:hAnsi="仿宋" w:eastAsia="仿宋"/>
          <w:sz w:val="32"/>
          <w:szCs w:val="32"/>
        </w:rPr>
        <w:t>年12月31日前撰写发布201</w:t>
      </w:r>
      <w:r>
        <w:rPr>
          <w:rFonts w:ascii="仿宋" w:hAnsi="仿宋" w:eastAsia="仿宋"/>
          <w:sz w:val="32"/>
          <w:szCs w:val="32"/>
        </w:rPr>
        <w:t>8</w:t>
      </w:r>
      <w:r>
        <w:rPr>
          <w:rFonts w:hint="eastAsia" w:ascii="仿宋" w:hAnsi="仿宋" w:eastAsia="仿宋"/>
          <w:sz w:val="32"/>
          <w:szCs w:val="32"/>
        </w:rPr>
        <w:t>届毕业生就业质量报告，多角度分析201</w:t>
      </w:r>
      <w:r>
        <w:rPr>
          <w:rFonts w:ascii="仿宋" w:hAnsi="仿宋" w:eastAsia="仿宋"/>
          <w:sz w:val="32"/>
          <w:szCs w:val="32"/>
        </w:rPr>
        <w:t>8</w:t>
      </w:r>
      <w:r>
        <w:rPr>
          <w:rFonts w:hint="eastAsia" w:ascii="仿宋" w:hAnsi="仿宋" w:eastAsia="仿宋"/>
          <w:sz w:val="32"/>
          <w:szCs w:val="32"/>
        </w:rPr>
        <w:t>届毕业生就业数据，做好毕业生就业结果数据挖掘；</w:t>
      </w:r>
    </w:p>
    <w:p>
      <w:pPr>
        <w:ind w:firstLine="660"/>
        <w:rPr>
          <w:rFonts w:ascii="仿宋" w:hAnsi="仿宋" w:eastAsia="仿宋"/>
          <w:sz w:val="32"/>
          <w:szCs w:val="32"/>
        </w:rPr>
      </w:pPr>
      <w:r>
        <w:rPr>
          <w:rFonts w:hint="eastAsia" w:ascii="仿宋" w:hAnsi="仿宋" w:eastAsia="仿宋"/>
          <w:sz w:val="32"/>
          <w:szCs w:val="32"/>
        </w:rPr>
        <w:t>（2）每学期至少撰写3期就业与创业内参，做好学生就业过程性数据的多角度分析，并派送至教务处、研究生院、招生办等相关部门。</w:t>
      </w:r>
    </w:p>
    <w:p>
      <w:pPr>
        <w:spacing w:line="360" w:lineRule="auto"/>
        <w:ind w:firstLine="640" w:firstLineChars="200"/>
        <w:rPr>
          <w:rFonts w:ascii="仿宋" w:hAnsi="仿宋" w:eastAsia="仿宋"/>
          <w:sz w:val="32"/>
          <w:szCs w:val="32"/>
        </w:rPr>
      </w:pPr>
      <w:r>
        <w:rPr>
          <w:rFonts w:hint="eastAsia" w:ascii="仿宋" w:hAnsi="仿宋" w:eastAsia="仿宋"/>
          <w:sz w:val="32"/>
          <w:szCs w:val="32"/>
        </w:rPr>
        <w:t>（3）组织师生开展就业创业类课题研究，支持结合自身专业、特长、就业意向等，申报相关课题，引导教师深入研究就业创业理论，指导学生了解就业创业市场，为实现高质量就业打下基础，同时做好课题经费支持、考核等。</w:t>
      </w:r>
    </w:p>
    <w:p>
      <w:pPr>
        <w:rPr>
          <w:rFonts w:ascii="仿宋" w:hAnsi="仿宋" w:eastAsia="仿宋"/>
          <w:sz w:val="32"/>
          <w:szCs w:val="32"/>
        </w:rPr>
      </w:pPr>
      <w:r>
        <w:rPr>
          <w:rFonts w:hint="eastAsia" w:ascii="仿宋" w:hAnsi="仿宋" w:eastAsia="仿宋"/>
          <w:sz w:val="32"/>
          <w:szCs w:val="32"/>
        </w:rPr>
        <w:t>5.建设创新创业生态系统，提供多元化课程体系</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继续抓好</w:t>
      </w:r>
      <w:r>
        <w:rPr>
          <w:rFonts w:ascii="仿宋" w:hAnsi="仿宋" w:eastAsia="仿宋"/>
          <w:color w:val="000000" w:themeColor="text1"/>
          <w:sz w:val="32"/>
          <w:szCs w:val="32"/>
        </w:rPr>
        <w:t>教育培训，强化实践锻炼。</w:t>
      </w:r>
      <w:r>
        <w:rPr>
          <w:rFonts w:hint="eastAsia" w:ascii="仿宋" w:hAnsi="仿宋" w:eastAsia="仿宋"/>
          <w:color w:val="000000" w:themeColor="text1"/>
          <w:sz w:val="32"/>
          <w:szCs w:val="32"/>
        </w:rPr>
        <w:t>针对学生创新创业能力培养，进行多级、多维度创新创业教育</w:t>
      </w:r>
      <w:r>
        <w:rPr>
          <w:rFonts w:ascii="仿宋" w:hAnsi="仿宋" w:eastAsia="仿宋"/>
          <w:color w:val="000000" w:themeColor="text1"/>
          <w:sz w:val="32"/>
          <w:szCs w:val="32"/>
        </w:rPr>
        <w:t>引领创业</w:t>
      </w:r>
      <w:r>
        <w:rPr>
          <w:rFonts w:hint="eastAsia" w:ascii="仿宋" w:hAnsi="仿宋" w:eastAsia="仿宋"/>
          <w:color w:val="000000" w:themeColor="text1"/>
          <w:sz w:val="32"/>
          <w:szCs w:val="32"/>
        </w:rPr>
        <w:t>；配置有效资源，推进“京师梦工厂”工程展开</w:t>
      </w:r>
      <w:r>
        <w:rPr>
          <w:rFonts w:ascii="仿宋" w:hAnsi="仿宋" w:eastAsia="仿宋"/>
          <w:color w:val="000000" w:themeColor="text1"/>
          <w:sz w:val="32"/>
          <w:szCs w:val="32"/>
        </w:rPr>
        <w:t>服务</w:t>
      </w:r>
      <w:r>
        <w:rPr>
          <w:rFonts w:hint="eastAsia" w:ascii="仿宋" w:hAnsi="仿宋" w:eastAsia="仿宋"/>
          <w:color w:val="000000" w:themeColor="text1"/>
          <w:sz w:val="32"/>
          <w:szCs w:val="32"/>
        </w:rPr>
        <w:t>。</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（1）秉承“</w:t>
      </w:r>
      <w:r>
        <w:rPr>
          <w:rFonts w:ascii="仿宋" w:hAnsi="仿宋" w:eastAsia="仿宋"/>
          <w:color w:val="000000" w:themeColor="text1"/>
          <w:sz w:val="32"/>
          <w:szCs w:val="32"/>
        </w:rPr>
        <w:t>教赛结合，以赛促学</w:t>
      </w:r>
      <w:r>
        <w:rPr>
          <w:rFonts w:hint="eastAsia" w:ascii="仿宋" w:hAnsi="仿宋" w:eastAsia="仿宋"/>
          <w:color w:val="000000" w:themeColor="text1"/>
          <w:sz w:val="32"/>
          <w:szCs w:val="32"/>
        </w:rPr>
        <w:t>”理念进行</w:t>
      </w:r>
      <w:r>
        <w:rPr>
          <w:rFonts w:ascii="仿宋" w:hAnsi="仿宋" w:eastAsia="仿宋"/>
          <w:color w:val="000000" w:themeColor="text1"/>
          <w:sz w:val="32"/>
          <w:szCs w:val="32"/>
        </w:rPr>
        <w:t>创业引领</w:t>
      </w:r>
      <w:r>
        <w:rPr>
          <w:rFonts w:hint="eastAsia" w:ascii="仿宋" w:hAnsi="仿宋" w:eastAsia="仿宋"/>
          <w:color w:val="000000" w:themeColor="text1"/>
          <w:sz w:val="32"/>
          <w:szCs w:val="32"/>
        </w:rPr>
        <w:t>。建设以“北京师范大学创业大赛”为核心的多级创业大赛体系，开设基础理论学分选修课程“创新创业能力素质训练”和实训指导实践类课程“创新创业试验班”。</w:t>
      </w:r>
    </w:p>
    <w:p>
      <w:pPr>
        <w:spacing w:line="360" w:lineRule="auto"/>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w:t>
      </w:r>
      <w:r>
        <w:rPr>
          <w:rFonts w:ascii="仿宋" w:hAnsi="仿宋" w:eastAsia="仿宋"/>
          <w:color w:val="000000" w:themeColor="text1"/>
          <w:sz w:val="32"/>
          <w:szCs w:val="32"/>
        </w:rPr>
        <w:t>建立并完善院系创业工作台帐</w:t>
      </w:r>
      <w:r>
        <w:rPr>
          <w:rFonts w:hint="eastAsia" w:ascii="仿宋" w:hAnsi="仿宋" w:eastAsia="仿宋"/>
          <w:color w:val="000000" w:themeColor="text1"/>
          <w:sz w:val="32"/>
          <w:szCs w:val="32"/>
        </w:rPr>
        <w:t>，</w:t>
      </w:r>
      <w:r>
        <w:rPr>
          <w:rFonts w:ascii="仿宋" w:hAnsi="仿宋" w:eastAsia="仿宋"/>
          <w:color w:val="000000" w:themeColor="text1"/>
          <w:sz w:val="32"/>
          <w:szCs w:val="32"/>
        </w:rPr>
        <w:t>全面掌握我校创业学生情况及最新动向</w:t>
      </w:r>
      <w:r>
        <w:rPr>
          <w:rFonts w:hint="eastAsia" w:ascii="仿宋" w:hAnsi="仿宋" w:eastAsia="仿宋"/>
          <w:color w:val="000000" w:themeColor="text1"/>
          <w:sz w:val="32"/>
          <w:szCs w:val="32"/>
        </w:rPr>
        <w:t>，</w:t>
      </w:r>
      <w:r>
        <w:rPr>
          <w:rFonts w:ascii="仿宋" w:hAnsi="仿宋" w:eastAsia="仿宋"/>
          <w:color w:val="000000" w:themeColor="text1"/>
          <w:sz w:val="32"/>
          <w:szCs w:val="32"/>
        </w:rPr>
        <w:t>实现精准</w:t>
      </w:r>
      <w:r>
        <w:rPr>
          <w:rFonts w:hint="eastAsia" w:ascii="仿宋" w:hAnsi="仿宋" w:eastAsia="仿宋"/>
          <w:color w:val="000000" w:themeColor="text1"/>
          <w:sz w:val="32"/>
          <w:szCs w:val="32"/>
        </w:rPr>
        <w:t>创业指导</w:t>
      </w:r>
      <w:r>
        <w:rPr>
          <w:rFonts w:ascii="仿宋" w:hAnsi="仿宋" w:eastAsia="仿宋"/>
          <w:color w:val="000000" w:themeColor="text1"/>
          <w:sz w:val="32"/>
          <w:szCs w:val="32"/>
        </w:rPr>
        <w:t>帮扶</w:t>
      </w:r>
      <w:r>
        <w:rPr>
          <w:rFonts w:hint="eastAsia" w:ascii="仿宋" w:hAnsi="仿宋" w:eastAsia="仿宋"/>
          <w:color w:val="000000" w:themeColor="text1"/>
          <w:sz w:val="32"/>
          <w:szCs w:val="32"/>
        </w:rPr>
        <w:t>。</w:t>
      </w:r>
    </w:p>
    <w:p>
      <w:pPr>
        <w:spacing w:line="360" w:lineRule="auto"/>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（3）依托“创业协会”、“京师未来企业家俱乐部”打造创业交流平台；做好校院、校企双向资源扩展，推进“京师梦工厂”工程，为创业学生提供一站式支持服务。</w:t>
      </w:r>
    </w:p>
    <w:p>
      <w:pPr>
        <w:spacing w:line="360" w:lineRule="auto"/>
        <w:ind w:firstLine="640" w:firstLineChars="200"/>
        <w:rPr>
          <w:rFonts w:ascii="仿宋" w:hAnsi="仿宋" w:eastAsia="仿宋"/>
          <w:sz w:val="32"/>
          <w:szCs w:val="32"/>
        </w:rPr>
      </w:pPr>
      <w:r>
        <w:rPr>
          <w:rFonts w:hint="eastAsia" w:ascii="仿宋" w:hAnsi="仿宋" w:eastAsia="仿宋"/>
          <w:sz w:val="32"/>
          <w:szCs w:val="32"/>
        </w:rPr>
        <w:t>（4）引入创业实训教学沙盘。借助沙盘模拟教学系统，培训院系教师独立开展创业实训，填补创业实训环节的空白。</w:t>
      </w:r>
    </w:p>
    <w:p>
      <w:pPr>
        <w:spacing w:line="360" w:lineRule="auto"/>
        <w:ind w:firstLine="640" w:firstLineChars="200"/>
        <w:rPr>
          <w:rFonts w:ascii="仿宋" w:hAnsi="仿宋" w:eastAsia="仿宋"/>
          <w:sz w:val="32"/>
          <w:szCs w:val="32"/>
        </w:rPr>
      </w:pPr>
      <w:r>
        <w:rPr>
          <w:rFonts w:hint="eastAsia" w:ascii="仿宋" w:hAnsi="仿宋" w:eastAsia="仿宋"/>
          <w:sz w:val="32"/>
          <w:szCs w:val="32"/>
        </w:rPr>
        <w:t>（5）开展创新创业教育海外研修项目。计划暑期开展美国硅谷创业游学项目，为学生引入全球最前沿科技创新，开拓视野。</w:t>
      </w:r>
    </w:p>
    <w:p>
      <w:pPr>
        <w:rPr>
          <w:rFonts w:ascii="仿宋" w:hAnsi="仿宋" w:eastAsia="仿宋"/>
          <w:sz w:val="32"/>
          <w:szCs w:val="32"/>
        </w:rPr>
      </w:pPr>
      <w:r>
        <w:rPr>
          <w:rFonts w:hint="eastAsia" w:ascii="仿宋" w:hAnsi="仿宋" w:eastAsia="仿宋"/>
          <w:sz w:val="32"/>
          <w:szCs w:val="32"/>
        </w:rPr>
        <w:t>6.完善就业创业指导体系，提供全方位课程与咨询</w:t>
      </w:r>
    </w:p>
    <w:p>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有效的就业指导</w:t>
      </w:r>
      <w:r>
        <w:rPr>
          <w:rFonts w:hint="eastAsia" w:ascii="仿宋" w:hAnsi="仿宋" w:eastAsia="仿宋"/>
          <w:sz w:val="32"/>
          <w:szCs w:val="32"/>
        </w:rPr>
        <w:t>能够完成研究型人才的职业化培养，填补人才培养环节的综合职业能力培养空白。用好</w:t>
      </w:r>
      <w:r>
        <w:rPr>
          <w:rFonts w:ascii="仿宋" w:hAnsi="仿宋" w:eastAsia="仿宋"/>
          <w:sz w:val="32"/>
          <w:szCs w:val="32"/>
        </w:rPr>
        <w:t>课堂教学主渠道，满足学生成长发展需求期待，</w:t>
      </w:r>
      <w:r>
        <w:rPr>
          <w:rFonts w:hint="eastAsia" w:ascii="仿宋" w:hAnsi="仿宋" w:eastAsia="仿宋"/>
          <w:sz w:val="32"/>
          <w:szCs w:val="32"/>
        </w:rPr>
        <w:t>构建</w:t>
      </w:r>
      <w:r>
        <w:rPr>
          <w:rFonts w:ascii="仿宋" w:hAnsi="仿宋" w:eastAsia="仿宋"/>
          <w:sz w:val="32"/>
          <w:szCs w:val="32"/>
        </w:rPr>
        <w:t>完善</w:t>
      </w:r>
      <w:r>
        <w:rPr>
          <w:rFonts w:hint="eastAsia" w:ascii="仿宋" w:hAnsi="仿宋" w:eastAsia="仿宋"/>
          <w:sz w:val="32"/>
          <w:szCs w:val="32"/>
        </w:rPr>
        <w:t>的</w:t>
      </w:r>
      <w:r>
        <w:rPr>
          <w:rFonts w:ascii="仿宋" w:hAnsi="仿宋" w:eastAsia="仿宋"/>
          <w:sz w:val="32"/>
          <w:szCs w:val="32"/>
        </w:rPr>
        <w:t>就业创业指导体系。</w:t>
      </w:r>
    </w:p>
    <w:p>
      <w:pPr>
        <w:spacing w:line="360" w:lineRule="auto"/>
        <w:ind w:firstLine="640" w:firstLineChars="200"/>
        <w:rPr>
          <w:rFonts w:ascii="仿宋" w:hAnsi="仿宋" w:eastAsia="仿宋"/>
          <w:color w:val="000000" w:themeColor="text1"/>
          <w:sz w:val="32"/>
          <w:szCs w:val="32"/>
        </w:rPr>
      </w:pPr>
      <w:r>
        <w:rPr>
          <w:rFonts w:hint="eastAsia" w:ascii="仿宋" w:hAnsi="仿宋" w:eastAsia="仿宋" w:cs="宋体"/>
          <w:sz w:val="32"/>
          <w:szCs w:val="32"/>
        </w:rPr>
        <w:t>（1）建立全员覆盖式必修选修课程体系，</w:t>
      </w:r>
      <w:r>
        <w:rPr>
          <w:rFonts w:hint="eastAsia" w:ascii="仿宋" w:hAnsi="仿宋" w:eastAsia="仿宋"/>
          <w:sz w:val="32"/>
          <w:szCs w:val="32"/>
        </w:rPr>
        <w:t>继续面向一年级学生开设职业规划必修课程，面向三年级学生开设就业指导必修课程，面向全校开</w:t>
      </w:r>
      <w:r>
        <w:rPr>
          <w:rFonts w:hint="eastAsia" w:ascii="仿宋" w:hAnsi="仿宋" w:eastAsia="仿宋"/>
          <w:color w:val="000000" w:themeColor="text1"/>
          <w:sz w:val="32"/>
          <w:szCs w:val="32"/>
        </w:rPr>
        <w:t>设优秀校友就业与创业指导选修课程；</w:t>
      </w:r>
    </w:p>
    <w:p>
      <w:pPr>
        <w:spacing w:line="360" w:lineRule="auto"/>
        <w:ind w:firstLine="640" w:firstLineChars="200"/>
        <w:rPr>
          <w:rFonts w:ascii="仿宋" w:hAnsi="仿宋" w:eastAsia="仿宋"/>
          <w:sz w:val="32"/>
          <w:szCs w:val="32"/>
        </w:rPr>
      </w:pPr>
      <w:r>
        <w:rPr>
          <w:rFonts w:hint="eastAsia" w:ascii="仿宋" w:hAnsi="仿宋" w:eastAsia="仿宋"/>
          <w:color w:val="000000" w:themeColor="text1"/>
          <w:sz w:val="32"/>
          <w:szCs w:val="32"/>
        </w:rPr>
        <w:t>（2）完善以综合职业能力提升为目的的实践教育体系，加强岗前培训课程体系建设，继续推动英才训练营稳步前进，</w:t>
      </w:r>
      <w:r>
        <w:rPr>
          <w:rFonts w:hint="eastAsia" w:ascii="仿宋" w:hAnsi="仿宋" w:eastAsia="仿宋"/>
          <w:sz w:val="32"/>
          <w:szCs w:val="32"/>
        </w:rPr>
        <w:t>增开教育营。</w:t>
      </w:r>
    </w:p>
    <w:p>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（3）拓展咨询人员数量，逐步加大个体咨询力度，为包括就业困难、家庭经济困难等群体在内的各类学生提供精准就业指导。</w:t>
      </w:r>
    </w:p>
    <w:p>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（4）教师</w:t>
      </w:r>
      <w:r>
        <w:rPr>
          <w:rFonts w:ascii="仿宋" w:hAnsi="仿宋" w:eastAsia="仿宋" w:cs="宋体"/>
          <w:sz w:val="32"/>
          <w:szCs w:val="32"/>
        </w:rPr>
        <w:t>作为传道者，首先要明道信道</w:t>
      </w:r>
      <w:r>
        <w:rPr>
          <w:rFonts w:hint="eastAsia" w:ascii="仿宋" w:hAnsi="仿宋" w:eastAsia="仿宋" w:cs="宋体"/>
          <w:sz w:val="32"/>
          <w:szCs w:val="32"/>
        </w:rPr>
        <w:t>，</w:t>
      </w:r>
      <w:r>
        <w:rPr>
          <w:rFonts w:ascii="仿宋" w:hAnsi="仿宋" w:eastAsia="仿宋" w:cs="宋体"/>
          <w:sz w:val="32"/>
          <w:szCs w:val="32"/>
        </w:rPr>
        <w:t>才能更好地担起学生成长的引导者和指路人的责任。</w:t>
      </w:r>
      <w:r>
        <w:rPr>
          <w:rFonts w:hint="eastAsia" w:ascii="仿宋" w:hAnsi="仿宋" w:eastAsia="仿宋" w:cs="宋体"/>
          <w:sz w:val="32"/>
          <w:szCs w:val="32"/>
        </w:rPr>
        <w:t>中心着力提升就业工作教师队伍的专业能力，定期举办课程讲座和课程研讨，资助有专业化发展意向的老师参与校内外各类培训项目。</w:t>
      </w:r>
    </w:p>
    <w:p>
      <w:pPr>
        <w:rPr>
          <w:rFonts w:ascii="仿宋" w:hAnsi="仿宋" w:eastAsia="仿宋"/>
          <w:sz w:val="32"/>
          <w:szCs w:val="32"/>
        </w:rPr>
      </w:pPr>
      <w:r>
        <w:rPr>
          <w:rFonts w:hint="eastAsia" w:ascii="仿宋" w:hAnsi="仿宋" w:eastAsia="仿宋"/>
          <w:sz w:val="32"/>
          <w:szCs w:val="32"/>
        </w:rPr>
        <w:t>7.优化工作机制，健全校院</w:t>
      </w:r>
      <w:r>
        <w:rPr>
          <w:rFonts w:ascii="仿宋" w:hAnsi="仿宋" w:eastAsia="仿宋"/>
          <w:sz w:val="32"/>
          <w:szCs w:val="32"/>
        </w:rPr>
        <w:t>两级</w:t>
      </w:r>
      <w:r>
        <w:rPr>
          <w:rFonts w:hint="eastAsia" w:ascii="仿宋" w:hAnsi="仿宋" w:eastAsia="仿宋"/>
          <w:sz w:val="32"/>
          <w:szCs w:val="32"/>
        </w:rPr>
        <w:t>就业管理</w:t>
      </w:r>
      <w:r>
        <w:rPr>
          <w:rFonts w:ascii="仿宋" w:hAnsi="仿宋" w:eastAsia="仿宋"/>
          <w:sz w:val="32"/>
          <w:szCs w:val="32"/>
        </w:rPr>
        <w:t>新模式</w:t>
      </w:r>
    </w:p>
    <w:p>
      <w:pPr>
        <w:ind w:firstLine="640" w:firstLineChars="200"/>
        <w:rPr>
          <w:rFonts w:ascii="仿宋" w:hAnsi="仿宋" w:eastAsia="仿宋"/>
          <w:sz w:val="32"/>
          <w:szCs w:val="32"/>
        </w:rPr>
      </w:pPr>
      <w:r>
        <w:rPr>
          <w:rFonts w:hint="eastAsia" w:ascii="仿宋" w:hAnsi="仿宋" w:eastAsia="仿宋"/>
          <w:sz w:val="32"/>
          <w:szCs w:val="32"/>
        </w:rPr>
        <w:t>借助信息化手段，优化校院两级管理机制，继续将自主权下放至院系，扩大试点院系范围，引导院系用好“就业进展库”和“毕业去向库”，及时掌握毕业生就业最新动向，实现点对点精准促就业，并实行工作成效考评。</w:t>
      </w:r>
    </w:p>
    <w:p>
      <w:pPr>
        <w:spacing w:line="360" w:lineRule="auto"/>
        <w:ind w:firstLine="640" w:firstLineChars="200"/>
        <w:rPr>
          <w:rFonts w:ascii="仿宋" w:hAnsi="仿宋" w:eastAsia="仿宋"/>
          <w:sz w:val="32"/>
          <w:szCs w:val="32"/>
        </w:rPr>
      </w:pPr>
      <w:bookmarkStart w:id="0" w:name="OLE_LINK1"/>
      <w:bookmarkStart w:id="1" w:name="OLE_LINK2"/>
      <w:r>
        <w:rPr>
          <w:rFonts w:hint="eastAsia" w:ascii="仿宋" w:hAnsi="仿宋" w:eastAsia="仿宋"/>
          <w:color w:val="000000" w:themeColor="text1"/>
          <w:sz w:val="32"/>
          <w:szCs w:val="32"/>
        </w:rPr>
        <w:t>在签约派遣服务方面，</w:t>
      </w:r>
      <w:r>
        <w:rPr>
          <w:rFonts w:hint="eastAsia" w:ascii="仿宋" w:hAnsi="仿宋" w:eastAsia="仿宋"/>
          <w:sz w:val="32"/>
          <w:szCs w:val="32"/>
        </w:rPr>
        <w:t>以试点院系为抓手，落实院系就业工作的主体地位，探索校院两级就业管理机制改革模式。院系工作由围绕“签约”转变为“管理”，就业中心则由围绕“派遣”转变为“服务指导+考评”。</w:t>
      </w:r>
    </w:p>
    <w:bookmarkEnd w:id="0"/>
    <w:bookmarkEnd w:id="1"/>
    <w:p>
      <w:pPr>
        <w:spacing w:line="360" w:lineRule="auto"/>
        <w:ind w:firstLine="640" w:firstLineChars="200"/>
        <w:rPr>
          <w:rFonts w:ascii="仿宋" w:hAnsi="仿宋" w:eastAsia="仿宋"/>
          <w:color w:val="000000" w:themeColor="text1"/>
          <w:sz w:val="32"/>
          <w:szCs w:val="32"/>
        </w:rPr>
      </w:pPr>
      <w:r>
        <w:rPr>
          <w:rFonts w:hint="eastAsia" w:ascii="仿宋" w:hAnsi="仿宋" w:eastAsia="仿宋"/>
          <w:sz w:val="32"/>
          <w:szCs w:val="32"/>
        </w:rPr>
        <w:t>引领院系更多加入市场招聘工作。组织院系到各地走访看望基层选调生、免费师范生等，同时拓展就业资源；联合</w:t>
      </w:r>
      <w:r>
        <w:rPr>
          <w:rFonts w:hint="eastAsia" w:ascii="仿宋" w:hAnsi="仿宋" w:eastAsia="仿宋"/>
          <w:color w:val="000000" w:themeColor="text1"/>
          <w:sz w:val="32"/>
          <w:szCs w:val="32"/>
        </w:rPr>
        <w:t>院系融入校级招聘，形成全员促就业工作格局。</w:t>
      </w:r>
    </w:p>
    <w:p>
      <w:pPr>
        <w:rPr>
          <w:rFonts w:ascii="仿宋" w:hAnsi="仿宋" w:eastAsia="仿宋"/>
          <w:b/>
          <w:sz w:val="32"/>
          <w:szCs w:val="32"/>
        </w:rPr>
      </w:pPr>
      <w:r>
        <w:rPr>
          <w:rFonts w:hint="eastAsia" w:ascii="仿宋" w:hAnsi="仿宋" w:eastAsia="仿宋"/>
          <w:b/>
          <w:sz w:val="32"/>
          <w:szCs w:val="32"/>
        </w:rPr>
        <w:t>二</w:t>
      </w:r>
      <w:r>
        <w:rPr>
          <w:rFonts w:ascii="仿宋" w:hAnsi="仿宋" w:eastAsia="仿宋"/>
          <w:b/>
          <w:sz w:val="32"/>
          <w:szCs w:val="32"/>
        </w:rPr>
        <w:t>、</w:t>
      </w:r>
      <w:r>
        <w:rPr>
          <w:rFonts w:hint="eastAsia" w:ascii="仿宋" w:hAnsi="仿宋" w:eastAsia="仿宋"/>
          <w:b/>
          <w:sz w:val="32"/>
          <w:szCs w:val="32"/>
        </w:rPr>
        <w:t>学生就业与创业指导中心201</w:t>
      </w:r>
      <w:r>
        <w:rPr>
          <w:rFonts w:ascii="仿宋" w:hAnsi="仿宋" w:eastAsia="仿宋"/>
          <w:b/>
          <w:sz w:val="32"/>
          <w:szCs w:val="32"/>
        </w:rPr>
        <w:t>8</w:t>
      </w:r>
      <w:r>
        <w:rPr>
          <w:rFonts w:hint="eastAsia" w:ascii="仿宋" w:hAnsi="仿宋" w:eastAsia="仿宋"/>
          <w:b/>
          <w:sz w:val="32"/>
          <w:szCs w:val="32"/>
        </w:rPr>
        <w:t>年工作要点</w:t>
      </w:r>
    </w:p>
    <w:p>
      <w:pPr>
        <w:rPr>
          <w:rFonts w:ascii="仿宋" w:hAnsi="仿宋" w:eastAsia="仿宋"/>
          <w:sz w:val="32"/>
          <w:szCs w:val="32"/>
        </w:rPr>
      </w:pPr>
      <w:r>
        <w:rPr>
          <w:rFonts w:hint="eastAsia" w:ascii="仿宋" w:hAnsi="仿宋" w:eastAsia="仿宋"/>
          <w:sz w:val="32"/>
          <w:szCs w:val="32"/>
        </w:rPr>
        <w:t>1.守住就业工作底线。集中全力确保201</w:t>
      </w:r>
      <w:r>
        <w:rPr>
          <w:rFonts w:ascii="仿宋" w:hAnsi="仿宋" w:eastAsia="仿宋"/>
          <w:sz w:val="32"/>
          <w:szCs w:val="32"/>
        </w:rPr>
        <w:t>8</w:t>
      </w:r>
      <w:r>
        <w:rPr>
          <w:rFonts w:hint="eastAsia" w:ascii="仿宋" w:hAnsi="仿宋" w:eastAsia="仿宋"/>
          <w:sz w:val="32"/>
          <w:szCs w:val="32"/>
        </w:rPr>
        <w:t>届毕业生初次就业率不低于95%。</w:t>
      </w:r>
    </w:p>
    <w:p>
      <w:pPr>
        <w:rPr>
          <w:rFonts w:ascii="仿宋" w:hAnsi="仿宋" w:eastAsia="仿宋"/>
          <w:sz w:val="32"/>
          <w:szCs w:val="32"/>
        </w:rPr>
      </w:pPr>
      <w:r>
        <w:rPr>
          <w:rFonts w:hint="eastAsia" w:ascii="仿宋" w:hAnsi="仿宋" w:eastAsia="仿宋"/>
          <w:sz w:val="32"/>
          <w:szCs w:val="32"/>
        </w:rPr>
        <w:t>2.提升校园招聘单位数量与质量。多层次、精细化打造师大特色的校园招聘活动体系，确保来校招聘用人单位数量不低于1</w:t>
      </w:r>
      <w:r>
        <w:rPr>
          <w:rFonts w:ascii="仿宋" w:hAnsi="仿宋" w:eastAsia="仿宋"/>
          <w:sz w:val="32"/>
          <w:szCs w:val="32"/>
        </w:rPr>
        <w:t>5</w:t>
      </w:r>
      <w:r>
        <w:rPr>
          <w:rFonts w:hint="eastAsia" w:ascii="仿宋" w:hAnsi="仿宋" w:eastAsia="仿宋"/>
          <w:sz w:val="32"/>
          <w:szCs w:val="32"/>
        </w:rPr>
        <w:t>00家。</w:t>
      </w:r>
    </w:p>
    <w:p>
      <w:pPr>
        <w:rPr>
          <w:rFonts w:ascii="仿宋" w:hAnsi="仿宋" w:eastAsia="仿宋"/>
          <w:sz w:val="32"/>
          <w:szCs w:val="32"/>
        </w:rPr>
      </w:pPr>
      <w:r>
        <w:rPr>
          <w:rFonts w:hint="eastAsia" w:ascii="仿宋" w:hAnsi="仿宋" w:eastAsia="仿宋"/>
          <w:sz w:val="32"/>
          <w:szCs w:val="32"/>
        </w:rPr>
        <w:t>3.完善教育教学反馈机制。201</w:t>
      </w:r>
      <w:r>
        <w:rPr>
          <w:rFonts w:ascii="仿宋" w:hAnsi="仿宋" w:eastAsia="仿宋"/>
          <w:sz w:val="32"/>
          <w:szCs w:val="32"/>
        </w:rPr>
        <w:t>8</w:t>
      </w:r>
      <w:r>
        <w:rPr>
          <w:rFonts w:hint="eastAsia" w:ascii="仿宋" w:hAnsi="仿宋" w:eastAsia="仿宋"/>
          <w:sz w:val="32"/>
          <w:szCs w:val="32"/>
        </w:rPr>
        <w:t>年12月31日前，撰写发布201</w:t>
      </w:r>
      <w:r>
        <w:rPr>
          <w:rFonts w:ascii="仿宋" w:hAnsi="仿宋" w:eastAsia="仿宋"/>
          <w:sz w:val="32"/>
          <w:szCs w:val="32"/>
        </w:rPr>
        <w:t>8</w:t>
      </w:r>
      <w:r>
        <w:rPr>
          <w:rFonts w:hint="eastAsia" w:ascii="仿宋" w:hAnsi="仿宋" w:eastAsia="仿宋"/>
          <w:sz w:val="32"/>
          <w:szCs w:val="32"/>
        </w:rPr>
        <w:t>届毕业生就业质量报告；学期内向人才培养部门每月派送就业与创业内参。</w:t>
      </w:r>
    </w:p>
    <w:p>
      <w:pPr>
        <w:spacing w:line="360" w:lineRule="auto"/>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w:t>
      </w:r>
      <w:bookmarkStart w:id="2" w:name="OLE_LINK5"/>
      <w:bookmarkStart w:id="3" w:name="OLE_LINK6"/>
      <w:r>
        <w:rPr>
          <w:rFonts w:hint="eastAsia" w:ascii="仿宋" w:hAnsi="仿宋" w:eastAsia="仿宋"/>
          <w:sz w:val="32"/>
          <w:szCs w:val="32"/>
        </w:rPr>
        <w:t>建立</w:t>
      </w:r>
      <w:r>
        <w:rPr>
          <w:rFonts w:ascii="仿宋" w:hAnsi="仿宋" w:eastAsia="仿宋"/>
          <w:sz w:val="32"/>
          <w:szCs w:val="32"/>
        </w:rPr>
        <w:t>创新创业</w:t>
      </w:r>
      <w:r>
        <w:rPr>
          <w:rFonts w:hint="eastAsia" w:ascii="仿宋" w:hAnsi="仿宋" w:eastAsia="仿宋"/>
          <w:sz w:val="32"/>
          <w:szCs w:val="32"/>
        </w:rPr>
        <w:t>生态系统。</w:t>
      </w:r>
      <w:bookmarkEnd w:id="2"/>
      <w:bookmarkEnd w:id="3"/>
      <w:r>
        <w:rPr>
          <w:rFonts w:hint="eastAsia" w:ascii="仿宋" w:hAnsi="仿宋" w:eastAsia="仿宋"/>
          <w:sz w:val="32"/>
          <w:szCs w:val="32"/>
        </w:rPr>
        <w:t>举办创业大赛，尝试推出创新创业教育海外研修项目，引入创业模拟沙盘开展创业实训，完善创新创业实验班教学体系和教学活动。</w:t>
      </w:r>
    </w:p>
    <w:p>
      <w:pPr>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.完善就业创业指导体系。稳步推动英才训练营，增设教育营；继续开设职业生涯、就业指导两门必修课程以及优秀校友就业与创业指导讲座选修课程；增加个体咨询服务，为学生就业提供指导。</w:t>
      </w:r>
    </w:p>
    <w:p>
      <w:pPr>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探索</w:t>
      </w:r>
      <w:r>
        <w:rPr>
          <w:rFonts w:ascii="仿宋" w:hAnsi="仿宋" w:eastAsia="仿宋"/>
          <w:sz w:val="32"/>
          <w:szCs w:val="32"/>
        </w:rPr>
        <w:t>校</w:t>
      </w:r>
      <w:r>
        <w:rPr>
          <w:rFonts w:hint="eastAsia" w:ascii="仿宋" w:hAnsi="仿宋" w:eastAsia="仿宋"/>
          <w:sz w:val="32"/>
          <w:szCs w:val="32"/>
        </w:rPr>
        <w:t>院</w:t>
      </w:r>
      <w:r>
        <w:rPr>
          <w:rFonts w:ascii="仿宋" w:hAnsi="仿宋" w:eastAsia="仿宋"/>
          <w:sz w:val="32"/>
          <w:szCs w:val="32"/>
        </w:rPr>
        <w:t>两级工作</w:t>
      </w:r>
      <w:r>
        <w:rPr>
          <w:rFonts w:hint="eastAsia" w:ascii="仿宋" w:hAnsi="仿宋" w:eastAsia="仿宋"/>
          <w:sz w:val="32"/>
          <w:szCs w:val="32"/>
        </w:rPr>
        <w:t>新模式</w:t>
      </w:r>
      <w:r>
        <w:rPr>
          <w:rFonts w:ascii="仿宋" w:hAnsi="仿宋" w:eastAsia="仿宋"/>
          <w:sz w:val="32"/>
          <w:szCs w:val="32"/>
        </w:rPr>
        <w:t>。</w:t>
      </w:r>
      <w:r>
        <w:rPr>
          <w:rFonts w:hint="eastAsia" w:ascii="仿宋" w:hAnsi="仿宋" w:eastAsia="仿宋"/>
          <w:sz w:val="32"/>
          <w:szCs w:val="32"/>
        </w:rPr>
        <w:t>继续扩大试点院系范围，完善就业考评机制，对院系就业工作合理评价。</w:t>
      </w:r>
    </w:p>
    <w:p>
      <w:pPr>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.推进暑期实习实训项目。在去年基础上，继续推进暑期实习实训项目，扩大实习基地数量和参与学生人数。</w:t>
      </w:r>
    </w:p>
    <w:p>
      <w:pPr>
        <w:spacing w:line="360" w:lineRule="auto"/>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组织师生开展就业创业类课题研究，支持结合自身情况申报相关课题。</w:t>
      </w:r>
    </w:p>
    <w:p>
      <w:pPr>
        <w:rPr>
          <w:rFonts w:ascii="仿宋" w:hAnsi="仿宋" w:eastAsia="仿宋"/>
          <w:color w:val="000000" w:themeColor="text1"/>
          <w:sz w:val="32"/>
          <w:szCs w:val="32"/>
        </w:rPr>
      </w:pPr>
    </w:p>
    <w:p>
      <w:pPr>
        <w:jc w:val="right"/>
        <w:rPr>
          <w:rFonts w:ascii="仿宋" w:hAnsi="仿宋" w:eastAsia="仿宋"/>
          <w:sz w:val="32"/>
          <w:szCs w:val="32"/>
        </w:rPr>
      </w:pPr>
      <w:r>
        <w:rPr>
          <w:rFonts w:hint="eastAsia" w:ascii="仿宋" w:hAnsi="仿宋" w:eastAsia="仿宋"/>
          <w:sz w:val="32"/>
          <w:szCs w:val="32"/>
        </w:rPr>
        <w:t>学生就业与创业指导中心</w:t>
      </w:r>
    </w:p>
    <w:p>
      <w:pPr>
        <w:jc w:val="right"/>
        <w:rPr>
          <w:rFonts w:ascii="仿宋" w:hAnsi="仿宋" w:eastAsia="仿宋"/>
          <w:sz w:val="32"/>
          <w:szCs w:val="32"/>
        </w:rPr>
      </w:pPr>
      <w:r>
        <w:rPr>
          <w:rFonts w:hint="eastAsia" w:ascii="仿宋" w:hAnsi="仿宋" w:eastAsia="仿宋"/>
          <w:sz w:val="32"/>
          <w:szCs w:val="32"/>
        </w:rPr>
        <w:t>201</w:t>
      </w:r>
      <w:r>
        <w:rPr>
          <w:rFonts w:ascii="仿宋" w:hAnsi="仿宋" w:eastAsia="仿宋"/>
          <w:sz w:val="32"/>
          <w:szCs w:val="32"/>
        </w:rPr>
        <w:t>7</w:t>
      </w:r>
      <w:r>
        <w:rPr>
          <w:rFonts w:hint="eastAsia" w:ascii="仿宋" w:hAnsi="仿宋" w:eastAsia="仿宋"/>
          <w:sz w:val="32"/>
          <w:szCs w:val="32"/>
        </w:rPr>
        <w:t>年12月</w:t>
      </w:r>
      <w:r>
        <w:rPr>
          <w:rFonts w:ascii="仿宋" w:hAnsi="仿宋" w:eastAsia="仿宋"/>
          <w:sz w:val="32"/>
          <w:szCs w:val="32"/>
        </w:rPr>
        <w:t>21</w:t>
      </w:r>
      <w:r>
        <w:rPr>
          <w:rFonts w:hint="eastAsia" w:ascii="仿宋" w:hAnsi="仿宋" w:eastAsia="仿宋"/>
          <w:sz w:val="32"/>
          <w:szCs w:val="32"/>
        </w:rPr>
        <w:t>日</w:t>
      </w:r>
    </w:p>
    <w:p>
      <w:pPr>
        <w:spacing w:line="360" w:lineRule="auto"/>
        <w:rPr>
          <w:rFonts w:ascii="仿宋" w:hAnsi="仿宋" w:eastAsia="仿宋"/>
          <w:sz w:val="32"/>
          <w:szCs w:val="32"/>
        </w:rPr>
      </w:pP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425F"/>
    <w:rsid w:val="00004346"/>
    <w:rsid w:val="00006DDF"/>
    <w:rsid w:val="00011362"/>
    <w:rsid w:val="00020F66"/>
    <w:rsid w:val="00027701"/>
    <w:rsid w:val="000437BC"/>
    <w:rsid w:val="00047CF3"/>
    <w:rsid w:val="00053801"/>
    <w:rsid w:val="00067792"/>
    <w:rsid w:val="00067C8A"/>
    <w:rsid w:val="00094E1B"/>
    <w:rsid w:val="000A7056"/>
    <w:rsid w:val="000C01E3"/>
    <w:rsid w:val="000D1E08"/>
    <w:rsid w:val="000E06A1"/>
    <w:rsid w:val="000F28CE"/>
    <w:rsid w:val="000F357D"/>
    <w:rsid w:val="000F4150"/>
    <w:rsid w:val="000F6AD3"/>
    <w:rsid w:val="00107169"/>
    <w:rsid w:val="00132FEB"/>
    <w:rsid w:val="00136F19"/>
    <w:rsid w:val="00140CEB"/>
    <w:rsid w:val="00141B3F"/>
    <w:rsid w:val="00153C7F"/>
    <w:rsid w:val="00155C57"/>
    <w:rsid w:val="0016218D"/>
    <w:rsid w:val="001764F3"/>
    <w:rsid w:val="0018272C"/>
    <w:rsid w:val="00183954"/>
    <w:rsid w:val="00183EFC"/>
    <w:rsid w:val="001A32B0"/>
    <w:rsid w:val="001A38C9"/>
    <w:rsid w:val="001B5885"/>
    <w:rsid w:val="001B6895"/>
    <w:rsid w:val="001C5E86"/>
    <w:rsid w:val="001C648F"/>
    <w:rsid w:val="001D1DC2"/>
    <w:rsid w:val="001D4073"/>
    <w:rsid w:val="001F3F56"/>
    <w:rsid w:val="001F6A2A"/>
    <w:rsid w:val="001F75A1"/>
    <w:rsid w:val="0021177C"/>
    <w:rsid w:val="00220DBD"/>
    <w:rsid w:val="00220F8F"/>
    <w:rsid w:val="002314E1"/>
    <w:rsid w:val="00232252"/>
    <w:rsid w:val="002372CD"/>
    <w:rsid w:val="002373D0"/>
    <w:rsid w:val="00251DC1"/>
    <w:rsid w:val="00261113"/>
    <w:rsid w:val="00263722"/>
    <w:rsid w:val="00266BEA"/>
    <w:rsid w:val="002670B0"/>
    <w:rsid w:val="00282195"/>
    <w:rsid w:val="0029136B"/>
    <w:rsid w:val="00291EC3"/>
    <w:rsid w:val="00292859"/>
    <w:rsid w:val="002942EA"/>
    <w:rsid w:val="002A11E1"/>
    <w:rsid w:val="002A76A7"/>
    <w:rsid w:val="002C774A"/>
    <w:rsid w:val="002D192B"/>
    <w:rsid w:val="002D3189"/>
    <w:rsid w:val="002D4396"/>
    <w:rsid w:val="002E37AD"/>
    <w:rsid w:val="002F20B9"/>
    <w:rsid w:val="00331ACE"/>
    <w:rsid w:val="00332075"/>
    <w:rsid w:val="00341C3B"/>
    <w:rsid w:val="0034551C"/>
    <w:rsid w:val="00353B24"/>
    <w:rsid w:val="003575F5"/>
    <w:rsid w:val="00360F1A"/>
    <w:rsid w:val="0036103F"/>
    <w:rsid w:val="00374B5C"/>
    <w:rsid w:val="00376EA2"/>
    <w:rsid w:val="0038017F"/>
    <w:rsid w:val="003A136F"/>
    <w:rsid w:val="003A6A07"/>
    <w:rsid w:val="003B396E"/>
    <w:rsid w:val="003B6C3F"/>
    <w:rsid w:val="003D4174"/>
    <w:rsid w:val="003E4BDB"/>
    <w:rsid w:val="00400192"/>
    <w:rsid w:val="004159AB"/>
    <w:rsid w:val="00417E67"/>
    <w:rsid w:val="00423316"/>
    <w:rsid w:val="00426BE9"/>
    <w:rsid w:val="00432BD0"/>
    <w:rsid w:val="004640C9"/>
    <w:rsid w:val="00471EE9"/>
    <w:rsid w:val="00477B49"/>
    <w:rsid w:val="00490DF3"/>
    <w:rsid w:val="00496EC9"/>
    <w:rsid w:val="00497EEF"/>
    <w:rsid w:val="004A452B"/>
    <w:rsid w:val="004A4A94"/>
    <w:rsid w:val="004B18F8"/>
    <w:rsid w:val="004C5C2E"/>
    <w:rsid w:val="004C5F13"/>
    <w:rsid w:val="004D68EF"/>
    <w:rsid w:val="004E17C0"/>
    <w:rsid w:val="004E3EE0"/>
    <w:rsid w:val="004E635B"/>
    <w:rsid w:val="004E7F04"/>
    <w:rsid w:val="005169E2"/>
    <w:rsid w:val="005227D1"/>
    <w:rsid w:val="005403B1"/>
    <w:rsid w:val="00540ECF"/>
    <w:rsid w:val="00552DD2"/>
    <w:rsid w:val="005559BC"/>
    <w:rsid w:val="00567B66"/>
    <w:rsid w:val="00567FE7"/>
    <w:rsid w:val="00572BD9"/>
    <w:rsid w:val="00580AE9"/>
    <w:rsid w:val="005824ED"/>
    <w:rsid w:val="005C32F9"/>
    <w:rsid w:val="005C6B68"/>
    <w:rsid w:val="005D298E"/>
    <w:rsid w:val="005D63A5"/>
    <w:rsid w:val="005E4354"/>
    <w:rsid w:val="005E5C7C"/>
    <w:rsid w:val="005F498E"/>
    <w:rsid w:val="005F5705"/>
    <w:rsid w:val="00600440"/>
    <w:rsid w:val="00606DA7"/>
    <w:rsid w:val="00616CAC"/>
    <w:rsid w:val="006229BA"/>
    <w:rsid w:val="006232F8"/>
    <w:rsid w:val="00624D41"/>
    <w:rsid w:val="006306E9"/>
    <w:rsid w:val="00630B46"/>
    <w:rsid w:val="006555CF"/>
    <w:rsid w:val="00676348"/>
    <w:rsid w:val="00676F0B"/>
    <w:rsid w:val="00677B4D"/>
    <w:rsid w:val="00681B8E"/>
    <w:rsid w:val="00692119"/>
    <w:rsid w:val="00697440"/>
    <w:rsid w:val="006C6DCD"/>
    <w:rsid w:val="006D3C7E"/>
    <w:rsid w:val="006D42A0"/>
    <w:rsid w:val="006E06B3"/>
    <w:rsid w:val="006F06FF"/>
    <w:rsid w:val="006F1CB1"/>
    <w:rsid w:val="006F4FE0"/>
    <w:rsid w:val="007057AC"/>
    <w:rsid w:val="00713A44"/>
    <w:rsid w:val="007226EA"/>
    <w:rsid w:val="0072494E"/>
    <w:rsid w:val="00724B9C"/>
    <w:rsid w:val="007372A7"/>
    <w:rsid w:val="007406F5"/>
    <w:rsid w:val="0075057F"/>
    <w:rsid w:val="007562E7"/>
    <w:rsid w:val="00756F71"/>
    <w:rsid w:val="00761FF9"/>
    <w:rsid w:val="007845AE"/>
    <w:rsid w:val="007849DE"/>
    <w:rsid w:val="00790012"/>
    <w:rsid w:val="007A3594"/>
    <w:rsid w:val="007B088B"/>
    <w:rsid w:val="007B5F69"/>
    <w:rsid w:val="007B6295"/>
    <w:rsid w:val="007C13B9"/>
    <w:rsid w:val="007D0A63"/>
    <w:rsid w:val="007D4898"/>
    <w:rsid w:val="007E2B4F"/>
    <w:rsid w:val="007E4E8C"/>
    <w:rsid w:val="00804AC1"/>
    <w:rsid w:val="008067C4"/>
    <w:rsid w:val="00807AF2"/>
    <w:rsid w:val="00810155"/>
    <w:rsid w:val="00810F32"/>
    <w:rsid w:val="00821C21"/>
    <w:rsid w:val="00826A12"/>
    <w:rsid w:val="00832B7A"/>
    <w:rsid w:val="00837AFA"/>
    <w:rsid w:val="008416A9"/>
    <w:rsid w:val="008451EF"/>
    <w:rsid w:val="008511E7"/>
    <w:rsid w:val="00861AB4"/>
    <w:rsid w:val="00870065"/>
    <w:rsid w:val="00873ECF"/>
    <w:rsid w:val="00884DA2"/>
    <w:rsid w:val="00892822"/>
    <w:rsid w:val="008978D3"/>
    <w:rsid w:val="008A0435"/>
    <w:rsid w:val="008A756E"/>
    <w:rsid w:val="008C22B6"/>
    <w:rsid w:val="008E3ACE"/>
    <w:rsid w:val="008F1B6A"/>
    <w:rsid w:val="008F39A0"/>
    <w:rsid w:val="009007E3"/>
    <w:rsid w:val="00900C3F"/>
    <w:rsid w:val="00903699"/>
    <w:rsid w:val="00914BC1"/>
    <w:rsid w:val="0092425F"/>
    <w:rsid w:val="00924288"/>
    <w:rsid w:val="00936CC7"/>
    <w:rsid w:val="00943F26"/>
    <w:rsid w:val="009515A7"/>
    <w:rsid w:val="0095185D"/>
    <w:rsid w:val="009703A3"/>
    <w:rsid w:val="00971511"/>
    <w:rsid w:val="009772F5"/>
    <w:rsid w:val="00980E52"/>
    <w:rsid w:val="009959A4"/>
    <w:rsid w:val="009B0897"/>
    <w:rsid w:val="009D0DF1"/>
    <w:rsid w:val="009D2361"/>
    <w:rsid w:val="009D5A24"/>
    <w:rsid w:val="009D7675"/>
    <w:rsid w:val="009E009A"/>
    <w:rsid w:val="009E342F"/>
    <w:rsid w:val="009F555F"/>
    <w:rsid w:val="00A07E01"/>
    <w:rsid w:val="00A1583F"/>
    <w:rsid w:val="00A24AE2"/>
    <w:rsid w:val="00A31E0D"/>
    <w:rsid w:val="00A41E95"/>
    <w:rsid w:val="00A559FD"/>
    <w:rsid w:val="00A6059D"/>
    <w:rsid w:val="00A62F04"/>
    <w:rsid w:val="00A65AC3"/>
    <w:rsid w:val="00A752B1"/>
    <w:rsid w:val="00A81936"/>
    <w:rsid w:val="00A94C93"/>
    <w:rsid w:val="00AB1EA5"/>
    <w:rsid w:val="00AC7C73"/>
    <w:rsid w:val="00AD28BF"/>
    <w:rsid w:val="00AD4475"/>
    <w:rsid w:val="00AE241C"/>
    <w:rsid w:val="00AE38E6"/>
    <w:rsid w:val="00AE43CA"/>
    <w:rsid w:val="00AF0C5E"/>
    <w:rsid w:val="00AF64DD"/>
    <w:rsid w:val="00B0010C"/>
    <w:rsid w:val="00B04113"/>
    <w:rsid w:val="00B11C53"/>
    <w:rsid w:val="00B125F0"/>
    <w:rsid w:val="00B14981"/>
    <w:rsid w:val="00B15197"/>
    <w:rsid w:val="00B16320"/>
    <w:rsid w:val="00B16487"/>
    <w:rsid w:val="00B21B32"/>
    <w:rsid w:val="00B230B6"/>
    <w:rsid w:val="00B25423"/>
    <w:rsid w:val="00B30F09"/>
    <w:rsid w:val="00B350CF"/>
    <w:rsid w:val="00B36126"/>
    <w:rsid w:val="00B51D6E"/>
    <w:rsid w:val="00B5319C"/>
    <w:rsid w:val="00B57631"/>
    <w:rsid w:val="00B705F8"/>
    <w:rsid w:val="00B717DC"/>
    <w:rsid w:val="00B82C54"/>
    <w:rsid w:val="00B916ED"/>
    <w:rsid w:val="00B91E4A"/>
    <w:rsid w:val="00BA60EE"/>
    <w:rsid w:val="00BB6FF5"/>
    <w:rsid w:val="00BC2353"/>
    <w:rsid w:val="00BC3810"/>
    <w:rsid w:val="00BC7AD7"/>
    <w:rsid w:val="00BF2823"/>
    <w:rsid w:val="00BF35D1"/>
    <w:rsid w:val="00BF4C27"/>
    <w:rsid w:val="00C07756"/>
    <w:rsid w:val="00C12770"/>
    <w:rsid w:val="00C17B6D"/>
    <w:rsid w:val="00C22FEE"/>
    <w:rsid w:val="00C23D21"/>
    <w:rsid w:val="00C23EFE"/>
    <w:rsid w:val="00C314B3"/>
    <w:rsid w:val="00C3269A"/>
    <w:rsid w:val="00C41ACD"/>
    <w:rsid w:val="00C42614"/>
    <w:rsid w:val="00C53D24"/>
    <w:rsid w:val="00C551A9"/>
    <w:rsid w:val="00C604FE"/>
    <w:rsid w:val="00C62737"/>
    <w:rsid w:val="00C6385C"/>
    <w:rsid w:val="00C733E0"/>
    <w:rsid w:val="00C90CB8"/>
    <w:rsid w:val="00C91A59"/>
    <w:rsid w:val="00CB0A8C"/>
    <w:rsid w:val="00CB6173"/>
    <w:rsid w:val="00CC28BC"/>
    <w:rsid w:val="00CD14D5"/>
    <w:rsid w:val="00CD269D"/>
    <w:rsid w:val="00CD2F67"/>
    <w:rsid w:val="00CE02E7"/>
    <w:rsid w:val="00CE10DF"/>
    <w:rsid w:val="00CE35DD"/>
    <w:rsid w:val="00CE3827"/>
    <w:rsid w:val="00CE574B"/>
    <w:rsid w:val="00CF1AAC"/>
    <w:rsid w:val="00D019BD"/>
    <w:rsid w:val="00D01E39"/>
    <w:rsid w:val="00D052CF"/>
    <w:rsid w:val="00D219CD"/>
    <w:rsid w:val="00D53F9D"/>
    <w:rsid w:val="00D61216"/>
    <w:rsid w:val="00D62434"/>
    <w:rsid w:val="00D6638F"/>
    <w:rsid w:val="00D74547"/>
    <w:rsid w:val="00D83EAA"/>
    <w:rsid w:val="00DA116B"/>
    <w:rsid w:val="00DA3116"/>
    <w:rsid w:val="00DB5241"/>
    <w:rsid w:val="00DB6EB9"/>
    <w:rsid w:val="00DD0E6D"/>
    <w:rsid w:val="00DD1EC3"/>
    <w:rsid w:val="00DD3AB2"/>
    <w:rsid w:val="00DD542D"/>
    <w:rsid w:val="00DD7576"/>
    <w:rsid w:val="00DE0DCF"/>
    <w:rsid w:val="00DE2D9D"/>
    <w:rsid w:val="00DF199B"/>
    <w:rsid w:val="00E12579"/>
    <w:rsid w:val="00E178BC"/>
    <w:rsid w:val="00E234B2"/>
    <w:rsid w:val="00E235F7"/>
    <w:rsid w:val="00E43534"/>
    <w:rsid w:val="00E51E3B"/>
    <w:rsid w:val="00E74DBA"/>
    <w:rsid w:val="00E85271"/>
    <w:rsid w:val="00EA2AFB"/>
    <w:rsid w:val="00EA782E"/>
    <w:rsid w:val="00EB22D6"/>
    <w:rsid w:val="00EB4A53"/>
    <w:rsid w:val="00EB7679"/>
    <w:rsid w:val="00ED0AB1"/>
    <w:rsid w:val="00EF6824"/>
    <w:rsid w:val="00F10675"/>
    <w:rsid w:val="00F110A5"/>
    <w:rsid w:val="00F17028"/>
    <w:rsid w:val="00F205CF"/>
    <w:rsid w:val="00F54C1D"/>
    <w:rsid w:val="00F551A2"/>
    <w:rsid w:val="00F56426"/>
    <w:rsid w:val="00F57B5C"/>
    <w:rsid w:val="00F66ED0"/>
    <w:rsid w:val="00F717FF"/>
    <w:rsid w:val="00F73808"/>
    <w:rsid w:val="00F8089B"/>
    <w:rsid w:val="00F90AC2"/>
    <w:rsid w:val="00FA1BB1"/>
    <w:rsid w:val="00FB0149"/>
    <w:rsid w:val="00FD67B8"/>
    <w:rsid w:val="00FD6AF4"/>
    <w:rsid w:val="00FE038E"/>
    <w:rsid w:val="00FE4D67"/>
    <w:rsid w:val="00FE5698"/>
    <w:rsid w:val="00FF2B6D"/>
    <w:rsid w:val="00FF3EE9"/>
    <w:rsid w:val="79A61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6ACA09-2643-4D20-9A98-A6862E4EF670}">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375</Words>
  <Characters>2138</Characters>
  <Lines>17</Lines>
  <Paragraphs>5</Paragraphs>
  <TotalTime>1614</TotalTime>
  <ScaleCrop>false</ScaleCrop>
  <LinksUpToDate>false</LinksUpToDate>
  <CharactersWithSpaces>2508</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2016-12-12T02:40:00Z</dcterms:created>
  <dc:creator>lixiang</dc:creator>
  <cp:lastModifiedBy>Administrator</cp:lastModifiedBy>
  <cp:lastPrinted>2018-12-05T09:53:23Z</cp:lastPrinted>
  <dcterms:modified xsi:type="dcterms:W3CDTF">2018-12-05T09:54:06Z</dcterms:modified>
  <cp:revision>343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