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 w:firstLine="560" w:firstLineChars="200"/>
        <w:jc w:val="left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sz w:val="28"/>
          <w:szCs w:val="28"/>
        </w:rPr>
        <w:t>附件1：具体名额分配方案</w:t>
      </w:r>
    </w:p>
    <w:bookmarkEnd w:id="0"/>
    <w:tbl>
      <w:tblPr>
        <w:tblStyle w:val="2"/>
        <w:tblW w:w="70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2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分配名额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地理科学学部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心理学部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哲学学院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经济与工商管理学院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体育与运动学院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汉语文化学院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外国语言文学学院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历史学院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物理学系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天文系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系统科学学院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统计学院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核科学与技术学院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4</w:t>
            </w:r>
          </w:p>
        </w:tc>
      </w:tr>
      <w:tr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政府管理学院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社会发展与公共政策学院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艺术与传媒学院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经济与资源管理研究院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水科学研究院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全球变化与地球系统科学研究院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中国基础教育质量监测协同创新中心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t>2</w:t>
            </w:r>
          </w:p>
        </w:tc>
      </w:tr>
    </w:tbl>
    <w:p>
      <w:pPr>
        <w:ind w:right="280" w:firstLine="560" w:firstLineChars="200"/>
        <w:jc w:val="lef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667C6"/>
    <w:rsid w:val="52F6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2020-11-18T09:40:00Z</dcterms:created>
  <dc:creator>LUCKYONES</dc:creator>
  <cp:lastModifiedBy>LUCKYONES</cp:lastModifiedBy>
  <dcterms:modified xsi:type="dcterms:W3CDTF">2020-11-18T09:41:00Z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